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DA54" w14:textId="77777777" w:rsidR="008E2E31" w:rsidRPr="008E2E31" w:rsidRDefault="008E2E31" w:rsidP="008E2E3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  <w:lang w:eastAsia="es-MX"/>
        </w:rPr>
      </w:pPr>
      <w:r w:rsidRPr="008E2E31">
        <w:rPr>
          <w:rFonts w:ascii="Arial" w:eastAsia="Times New Roman" w:hAnsi="Arial" w:cs="Arial"/>
          <w:color w:val="333333"/>
          <w:sz w:val="33"/>
          <w:szCs w:val="33"/>
          <w:lang w:eastAsia="es-MX"/>
        </w:rPr>
        <w:t>Fortalecimiento a la Micro y Pequeña Empresa</w:t>
      </w:r>
    </w:p>
    <w:p w14:paraId="4D117D6A" w14:textId="77777777" w:rsidR="008E2E31" w:rsidRDefault="008E2E31" w:rsidP="008E2E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  <w:lang w:eastAsia="es-MX"/>
        </w:rPr>
      </w:pPr>
    </w:p>
    <w:p w14:paraId="33052E7D" w14:textId="77777777" w:rsidR="008E2E31" w:rsidRPr="008E2E31" w:rsidRDefault="008E2E31" w:rsidP="008E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E2E31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  <w:lang w:eastAsia="es-MX"/>
        </w:rPr>
        <w:t>Requisitos:</w:t>
      </w:r>
      <w:r w:rsidRPr="008E2E31">
        <w:rPr>
          <w:rFonts w:ascii="Arial" w:eastAsia="Times New Roman" w:hAnsi="Arial" w:cs="Arial"/>
          <w:color w:val="666666"/>
          <w:sz w:val="24"/>
          <w:szCs w:val="24"/>
          <w:lang w:eastAsia="es-MX"/>
        </w:rPr>
        <w:br/>
      </w:r>
    </w:p>
    <w:p w14:paraId="76310784" w14:textId="77777777" w:rsidR="00AA58AD" w:rsidRPr="00AA58AD" w:rsidRDefault="00AA58AD" w:rsidP="00AA58A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AA58A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En caso de ser persona física presentar identificación oficial con fotografía vigente. (INE, Pasaporte o Cedula Profesional);</w:t>
      </w:r>
    </w:p>
    <w:p w14:paraId="51FA44D8" w14:textId="77777777" w:rsidR="00AA58AD" w:rsidRPr="00AA58AD" w:rsidRDefault="00AA58AD" w:rsidP="00AA58A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AA58A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En caso de ser persona moral presentar Poder General para Pleitos y Cobranzas, Actos de Administración y para firma de títulos de crédito, así como identificación oficial vigente del Representante Legal, el Acta Constitutiva deberá contar con la inscripción en el Registro Público de la Propiedad y Comercio;</w:t>
      </w:r>
    </w:p>
    <w:p w14:paraId="092FEFE8" w14:textId="77777777" w:rsidR="00AA58AD" w:rsidRPr="00AA58AD" w:rsidRDefault="00AA58AD" w:rsidP="00AA58A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AA58A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Recibo de predial vigente, del domicilio personal del solicitante (para personas físicas) o del domicilio fiscal del solicitante (Para personas morales)7;</w:t>
      </w:r>
    </w:p>
    <w:p w14:paraId="0F135E2B" w14:textId="77777777" w:rsidR="00AA58AD" w:rsidRPr="00AA58AD" w:rsidRDefault="00AA58AD" w:rsidP="00AA58A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AA58A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Comprobante de domicilio personal (para personas físicas) o del domicilio fiscal (personas morales), no mayor a dos meses (agua, luz o teléfono);</w:t>
      </w:r>
    </w:p>
    <w:p w14:paraId="751044A6" w14:textId="77777777" w:rsidR="00AA58AD" w:rsidRPr="00AA58AD" w:rsidRDefault="00AA58AD" w:rsidP="00AA58A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AA58A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Constancia de situación fiscal del solicitante con alta en Actividad Económica cuando menos un año anterior a la fecha de solicitud;</w:t>
      </w:r>
    </w:p>
    <w:p w14:paraId="0C269AE1" w14:textId="77777777" w:rsidR="00AA58AD" w:rsidRPr="00AA58AD" w:rsidRDefault="00AA58AD" w:rsidP="00AA58A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AA58A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Permiso de Operación Municipal, Ambulantaje o Sobre Ruedas según aplique, vigente;</w:t>
      </w:r>
    </w:p>
    <w:p w14:paraId="401065E8" w14:textId="77777777" w:rsidR="00AA58AD" w:rsidRPr="00AA58AD" w:rsidRDefault="00AA58AD" w:rsidP="00AA58A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AA58A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Presupuesto del proyecto desglosado por conceptos y aportaciones (Proforma FONDOS TIJUANA);</w:t>
      </w:r>
    </w:p>
    <w:p w14:paraId="502249A6" w14:textId="77777777" w:rsidR="00AA58AD" w:rsidRPr="00AA58AD" w:rsidRDefault="00AA58AD" w:rsidP="00AA58A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AA58A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Cotización(es) de los conceptos para los que se solicite el crédito, los cuales deberá(n) ser de proveedor(es) local(es) y en el caso de contar con una mejor propuesta económica fuera de Tijuana, deberá acompañar cada cotización foránea de una local, comprobando la mejor oferta. (la cotización no debe ser mayor a un mes, presentarse en hoja membretada, RFC y con firma o sello del proveedor); </w:t>
      </w:r>
      <w:proofErr w:type="gramStart"/>
      <w:r w:rsidRPr="00AA58A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( en</w:t>
      </w:r>
      <w:proofErr w:type="gramEnd"/>
      <w:r w:rsidRPr="00AA58A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 caso de ser digital, deberá contener logotipo, dirección y RFC del proveedor); (Cotizaciones de las empresas de comercio electrónico como Amazon, eBay o Mercado Libre, estarán sujetas a valoración del Comité Técnico);</w:t>
      </w:r>
    </w:p>
    <w:p w14:paraId="4E705360" w14:textId="77777777" w:rsidR="00AA58AD" w:rsidRPr="00AA58AD" w:rsidRDefault="00AA58AD" w:rsidP="00AA58A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AA58A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Declaración del SAT de los últimos tres (3) meses;</w:t>
      </w:r>
    </w:p>
    <w:p w14:paraId="463B5D32" w14:textId="77777777" w:rsidR="00AA58AD" w:rsidRPr="00AA58AD" w:rsidRDefault="00AA58AD" w:rsidP="00AA58A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AA58A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Cuando el negocio emplee a uno (1) o más trabajadores deberá presentar evidencia de los registros de las altas patronales ante el Instituto Mexicano del Seguro Social (IMSS), así como el pago de la última liquidación mensual;</w:t>
      </w:r>
    </w:p>
    <w:p w14:paraId="6E732067" w14:textId="77777777" w:rsidR="00AA58AD" w:rsidRPr="00AA58AD" w:rsidRDefault="00AA58AD" w:rsidP="00AA58A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AA58A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No contar con adeudos a favor del Ayuntamiento de Tijuana, B.C8</w:t>
      </w:r>
    </w:p>
    <w:p w14:paraId="51AEF612" w14:textId="77777777" w:rsidR="00AA58AD" w:rsidRPr="00AA58AD" w:rsidRDefault="00AA58AD" w:rsidP="00AA58A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AA58A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En caso de optar por la opción 4, presentar 3 últimos estados de cuenta del negocio y reporte de buró de crédito para el caso de comprobación de ingresos. Los ingresos deberán ser 3 a 1 el pago mensual del crédito, luego de descontar pago mensual por deuda y costos fijos mensuales del negocio (servicios, renta, salarios y materias primas según la actividad que realice); y</w:t>
      </w:r>
    </w:p>
    <w:p w14:paraId="4022E4AF" w14:textId="77777777" w:rsidR="00AA58AD" w:rsidRPr="00AA58AD" w:rsidRDefault="00AA58AD" w:rsidP="00AA58A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AA58AD">
        <w:rPr>
          <w:rFonts w:ascii="Arial" w:eastAsia="Times New Roman" w:hAnsi="Arial" w:cs="Arial"/>
          <w:color w:val="666666"/>
          <w:sz w:val="24"/>
          <w:szCs w:val="24"/>
          <w:lang w:eastAsia="es-MX"/>
        </w:rPr>
        <w:lastRenderedPageBreak/>
        <w:t>Contar con Aval, presentando copia de identificación oficial con fotografía vigente. (INE, Pasaporte o Cedula Profesional), así como comprobante de domicilio (agua, luz o teléfono) no mayor a tres (3) meses, el cual firmará un pagaré por la cantidad total del crédito otorgado, con todos los requisitos que establece el artículo 170 de la Ley General de Títulos y Operaciones de Créditos.</w:t>
      </w:r>
    </w:p>
    <w:p w14:paraId="52DDD292" w14:textId="224654D1" w:rsidR="00AA58AD" w:rsidRPr="00AA58AD" w:rsidRDefault="00AA58AD" w:rsidP="00AA58A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hyperlink r:id="rId5" w:history="1">
        <w:r w:rsidRPr="00AA58AD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Aviso de privacidad</w:t>
        </w:r>
      </w:hyperlink>
    </w:p>
    <w:p w14:paraId="42A3CBFE" w14:textId="1CB7D11C" w:rsidR="008E2E31" w:rsidRPr="008E2E31" w:rsidRDefault="008E2E31" w:rsidP="008E2E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8E2E3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1</w:t>
      </w:r>
      <w:r w:rsidRPr="008E2E3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</w:t>
      </w:r>
      <w:proofErr w:type="gramStart"/>
      <w:r w:rsidRPr="008E2E3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El</w:t>
      </w:r>
      <w:proofErr w:type="gramEnd"/>
      <w:r w:rsidRPr="008E2E3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 criterio para acreditar la antigüedad de los negocios que soliciten este recurso se basará en los puntos cinco (5) y seis (6) de los requisitos.</w:t>
      </w:r>
    </w:p>
    <w:p w14:paraId="20D59722" w14:textId="77777777" w:rsidR="008E2E31" w:rsidRPr="008E2E31" w:rsidRDefault="008E2E31" w:rsidP="008E2E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8E2E3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2</w:t>
      </w:r>
      <w:r w:rsidRPr="008E2E3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</w:t>
      </w:r>
      <w:proofErr w:type="gramStart"/>
      <w:r w:rsidRPr="008E2E3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El</w:t>
      </w:r>
      <w:proofErr w:type="gramEnd"/>
      <w:r w:rsidRPr="008E2E3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 recurso no podrá destinarse para el pago de pasivos o para la realización de obra civil de ningún tipo.</w:t>
      </w:r>
    </w:p>
    <w:p w14:paraId="3D13AE3F" w14:textId="77777777" w:rsidR="008E2E31" w:rsidRPr="008E2E31" w:rsidRDefault="008E2E31" w:rsidP="008E2E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8E2E3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3</w:t>
      </w:r>
      <w:r w:rsidRPr="008E2E3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Se entenderá como presupuesto total del proyecto la suma total de la o las cotizaciones presentadas como justificación del punto ocho (8) de los requisitos.</w:t>
      </w:r>
    </w:p>
    <w:p w14:paraId="371077E3" w14:textId="77777777" w:rsidR="008E2E31" w:rsidRPr="008E2E31" w:rsidRDefault="008E2E31" w:rsidP="008E2E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8E2E3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4</w:t>
      </w:r>
      <w:r w:rsidRPr="008E2E3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El interés será aplicado sobre el monto insoluto al momento de presentarse la fecha de pago de cada mensualidad.</w:t>
      </w:r>
    </w:p>
    <w:p w14:paraId="0DD40082" w14:textId="77777777" w:rsidR="008E2E31" w:rsidRPr="008E2E31" w:rsidRDefault="008E2E31" w:rsidP="008E2E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8E2E3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5</w:t>
      </w:r>
      <w:r w:rsidRPr="008E2E3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En caso de incurrir en impuntualidad en cualquiera de las doce (12) mensualidades, el aumento en la tasa de interés será aplicado a la mensualidad siguiente, y se mantendrá activa hasta finalizar el crédito.</w:t>
      </w:r>
    </w:p>
    <w:p w14:paraId="192421D1" w14:textId="77777777" w:rsidR="008E2E31" w:rsidRPr="008E2E31" w:rsidRDefault="008E2E31" w:rsidP="008E2E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8E2E3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6</w:t>
      </w:r>
      <w:r w:rsidRPr="008E2E3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La entrega del recurso aprobado por el Comité Técnico, estará sujeto a la disponibilidad de los ingresos en la cuenta fiduciaria.</w:t>
      </w:r>
    </w:p>
    <w:p w14:paraId="1A32174F" w14:textId="77777777" w:rsidR="008E2E31" w:rsidRPr="008E2E31" w:rsidRDefault="008E2E31" w:rsidP="008E2E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8E2E3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7</w:t>
      </w:r>
      <w:r w:rsidRPr="008E2E3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En el caso de que el domicilio personal del solicitante (para personas físicas) o del domicilio fiscal del solicitante (personas morales) sea rentado, el solicitante deberá presentar copia del contrato de arrendamiento vigente.</w:t>
      </w:r>
    </w:p>
    <w:p w14:paraId="0EB4F703" w14:textId="77777777" w:rsidR="00AD7CD5" w:rsidRDefault="00705CF0"/>
    <w:sectPr w:rsidR="00AD7C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57E"/>
    <w:multiLevelType w:val="multilevel"/>
    <w:tmpl w:val="F0E8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E1D42"/>
    <w:multiLevelType w:val="hybridMultilevel"/>
    <w:tmpl w:val="4C04A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31"/>
    <w:rsid w:val="003C7C4B"/>
    <w:rsid w:val="00642B96"/>
    <w:rsid w:val="00705CF0"/>
    <w:rsid w:val="008354DA"/>
    <w:rsid w:val="008E2E31"/>
    <w:rsid w:val="00A26E85"/>
    <w:rsid w:val="00AA58AD"/>
    <w:rsid w:val="00B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282F"/>
  <w15:chartTrackingRefBased/>
  <w15:docId w15:val="{27E53F66-E70F-4B87-9659-91622139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E2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E2E3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E2E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E2E3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AA58A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A5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ijuana.gob.mx/dependencias/SEDETI/docs/AVISO_DE_PRIVACIDAD_SEDETI_FF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 Calderon,Carlos Noel</dc:creator>
  <cp:keywords/>
  <dc:description/>
  <cp:lastModifiedBy>Jason Othoniel Torres Luis</cp:lastModifiedBy>
  <cp:revision>3</cp:revision>
  <dcterms:created xsi:type="dcterms:W3CDTF">2021-03-01T20:19:00Z</dcterms:created>
  <dcterms:modified xsi:type="dcterms:W3CDTF">2022-01-26T23:46:00Z</dcterms:modified>
</cp:coreProperties>
</file>